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D494" w14:textId="77777777" w:rsidR="004904F8" w:rsidRDefault="004904F8">
      <w:bookmarkStart w:id="0" w:name="_GoBack"/>
    </w:p>
    <w:p w14:paraId="02991E6A" w14:textId="77777777" w:rsidR="00161F29" w:rsidRDefault="00F731F5">
      <w:r w:rsidRPr="00F731F5">
        <w:rPr>
          <w:noProof/>
        </w:rPr>
        <w:drawing>
          <wp:inline distT="0" distB="0" distL="0" distR="0" wp14:anchorId="1EF7C728" wp14:editId="22A01D74">
            <wp:extent cx="5943600" cy="3343275"/>
            <wp:effectExtent l="0" t="0" r="0" b="9525"/>
            <wp:docPr id="1" name="Picture 1" descr="C:\Users\pc\Desktop\Biomedicin RP)\Staging via intraretinal pigmentatio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iomedicin RP)\Staging via intraretinal pigmentation.t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08A85" w14:textId="4AEB516E" w:rsidR="0009176C" w:rsidRPr="0009176C" w:rsidRDefault="0009176C" w:rsidP="00085AE8">
      <w:r>
        <w:rPr>
          <w:b/>
          <w:bCs/>
        </w:rPr>
        <w:t xml:space="preserve">Supplemental Figure </w:t>
      </w:r>
      <w:r w:rsidR="00671FD6">
        <w:rPr>
          <w:b/>
          <w:bCs/>
        </w:rPr>
        <w:t>S</w:t>
      </w:r>
      <w:r>
        <w:rPr>
          <w:b/>
          <w:bCs/>
        </w:rPr>
        <w:t xml:space="preserve">2: </w:t>
      </w:r>
      <w:r w:rsidR="004904F8" w:rsidRPr="00FD42C6">
        <w:rPr>
          <w:b/>
          <w:bCs/>
        </w:rPr>
        <w:t>Staging of RP; intra</w:t>
      </w:r>
      <w:r w:rsidR="002368A8">
        <w:rPr>
          <w:b/>
          <w:bCs/>
        </w:rPr>
        <w:t>-</w:t>
      </w:r>
      <w:r w:rsidR="004904F8" w:rsidRPr="00FD42C6">
        <w:rPr>
          <w:b/>
          <w:bCs/>
        </w:rPr>
        <w:t>retinal pigmentation</w:t>
      </w:r>
      <w:r w:rsidR="002368A8">
        <w:rPr>
          <w:b/>
          <w:bCs/>
        </w:rPr>
        <w:t xml:space="preserve">: </w:t>
      </w:r>
      <w:r w:rsidR="00430440" w:rsidRPr="00430440">
        <w:t>S</w:t>
      </w:r>
      <w:r w:rsidR="004904F8" w:rsidRPr="002368A8">
        <w:t xml:space="preserve">ix-stage system, encompasses preclinical; </w:t>
      </w:r>
      <w:r w:rsidR="00365C45">
        <w:t>Stages</w:t>
      </w:r>
      <w:r w:rsidR="004904F8" w:rsidRPr="002368A8">
        <w:t xml:space="preserve"> 0 and Stage I </w:t>
      </w:r>
      <w:r w:rsidR="00430440">
        <w:t>(</w:t>
      </w:r>
      <w:r w:rsidR="004904F8" w:rsidRPr="002368A8">
        <w:t>not shown in the diagram</w:t>
      </w:r>
      <w:r w:rsidR="00430440">
        <w:t>;</w:t>
      </w:r>
      <w:r w:rsidR="004904F8" w:rsidRPr="002368A8">
        <w:t xml:space="preserve"> the retina </w:t>
      </w:r>
      <w:r w:rsidR="00430440" w:rsidRPr="002368A8">
        <w:t>looks</w:t>
      </w:r>
      <w:r w:rsidR="004904F8" w:rsidRPr="002368A8">
        <w:t xml:space="preserve"> normal</w:t>
      </w:r>
      <w:r w:rsidR="00430440">
        <w:t>)</w:t>
      </w:r>
      <w:r w:rsidR="004904F8" w:rsidRPr="002368A8">
        <w:t xml:space="preserve"> and </w:t>
      </w:r>
      <w:r w:rsidR="00430440" w:rsidRPr="002368A8">
        <w:t xml:space="preserve">clinical </w:t>
      </w:r>
      <w:r w:rsidR="00430440">
        <w:t xml:space="preserve">stages </w:t>
      </w:r>
      <w:r w:rsidR="004904F8" w:rsidRPr="002368A8">
        <w:t xml:space="preserve">(Stage II to Stage V) as shown in the diagram. </w:t>
      </w:r>
      <w:r w:rsidR="00085AE8">
        <w:t>Figure S2</w:t>
      </w:r>
      <w:r w:rsidR="002368A8" w:rsidRPr="002368A8">
        <w:t>A and</w:t>
      </w:r>
      <w:r w:rsidR="004904F8" w:rsidRPr="002368A8">
        <w:t xml:space="preserve"> B </w:t>
      </w:r>
      <w:r w:rsidR="00365C45">
        <w:t>demonstrate</w:t>
      </w:r>
      <w:r w:rsidR="004904F8" w:rsidRPr="002368A8">
        <w:t xml:space="preserve"> intra</w:t>
      </w:r>
      <w:r w:rsidR="002368A8" w:rsidRPr="002368A8">
        <w:t>-</w:t>
      </w:r>
      <w:r w:rsidR="004904F8" w:rsidRPr="002368A8">
        <w:t xml:space="preserve">retinal pigmentation at various clinical stages and </w:t>
      </w:r>
      <w:r w:rsidR="00365C45">
        <w:t xml:space="preserve">are </w:t>
      </w:r>
      <w:r w:rsidR="004904F8" w:rsidRPr="002368A8">
        <w:t>presented in a sector of the retina for illustration</w:t>
      </w:r>
      <w:r w:rsidR="002368A8" w:rsidRPr="002368A8">
        <w:t xml:space="preserve"> purposes</w:t>
      </w:r>
      <w:r w:rsidR="004904F8" w:rsidRPr="002368A8">
        <w:t xml:space="preserve">. </w:t>
      </w:r>
      <w:r w:rsidR="00365C45">
        <w:t>The vascular</w:t>
      </w:r>
      <w:r w:rsidR="004904F8" w:rsidRPr="002368A8">
        <w:t xml:space="preserve"> arcade is an important landmark that </w:t>
      </w:r>
      <w:r w:rsidR="00365C45">
        <w:t>differentiates</w:t>
      </w:r>
      <w:r w:rsidR="004904F8" w:rsidRPr="002368A8">
        <w:t xml:space="preserve"> between </w:t>
      </w:r>
      <w:r w:rsidR="00365C45">
        <w:t xml:space="preserve">the </w:t>
      </w:r>
      <w:r w:rsidR="004904F8" w:rsidRPr="002368A8">
        <w:t xml:space="preserve">early stages of the disease (Stage II and </w:t>
      </w:r>
      <w:r w:rsidR="00365C45">
        <w:t>Stage</w:t>
      </w:r>
      <w:r w:rsidR="004904F8" w:rsidRPr="002368A8">
        <w:t xml:space="preserve"> III), and </w:t>
      </w:r>
      <w:r w:rsidR="00365C45">
        <w:t xml:space="preserve">the </w:t>
      </w:r>
      <w:r w:rsidR="004904F8" w:rsidRPr="002368A8">
        <w:t xml:space="preserve">late stages (IV and V). In </w:t>
      </w:r>
      <w:r w:rsidR="004904F8" w:rsidRPr="00430440">
        <w:rPr>
          <w:b/>
          <w:bCs/>
        </w:rPr>
        <w:t>stage II</w:t>
      </w:r>
      <w:r w:rsidR="004904F8" w:rsidRPr="002368A8">
        <w:t>,</w:t>
      </w:r>
      <w:r w:rsidR="00430440">
        <w:t xml:space="preserve"> (Figure S2 A; superior sector);</w:t>
      </w:r>
      <w:r w:rsidR="004904F8" w:rsidRPr="002368A8">
        <w:t xml:space="preserve"> Intra</w:t>
      </w:r>
      <w:r w:rsidR="002368A8" w:rsidRPr="002368A8">
        <w:t>-</w:t>
      </w:r>
      <w:r w:rsidR="004904F8" w:rsidRPr="002368A8">
        <w:t xml:space="preserve">retinal pigmentation is confined to </w:t>
      </w:r>
      <w:r w:rsidR="00365C45">
        <w:t xml:space="preserve">the </w:t>
      </w:r>
      <w:r w:rsidR="004904F8" w:rsidRPr="002368A8">
        <w:t>mid-periphery of the retina</w:t>
      </w:r>
      <w:r w:rsidR="00430440">
        <w:t xml:space="preserve">. </w:t>
      </w:r>
      <w:r w:rsidR="00430440" w:rsidRPr="00430440">
        <w:rPr>
          <w:b/>
          <w:bCs/>
        </w:rPr>
        <w:t>Stage III</w:t>
      </w:r>
      <w:r w:rsidR="00430440">
        <w:t>: (Figure S2 A; inferior sector); intra</w:t>
      </w:r>
      <w:r w:rsidR="004904F8" w:rsidRPr="002368A8">
        <w:rPr>
          <w:kern w:val="24"/>
        </w:rPr>
        <w:t>-retinal pigmentation spread in a concentric fashion reaching the vascular arcade</w:t>
      </w:r>
      <w:r w:rsidR="00430440">
        <w:rPr>
          <w:kern w:val="24"/>
        </w:rPr>
        <w:t xml:space="preserve">. </w:t>
      </w:r>
      <w:r w:rsidR="00430440" w:rsidRPr="00430440">
        <w:rPr>
          <w:b/>
          <w:bCs/>
          <w:kern w:val="24"/>
        </w:rPr>
        <w:t>Stage IV</w:t>
      </w:r>
      <w:r w:rsidR="00430440">
        <w:rPr>
          <w:kern w:val="24"/>
        </w:rPr>
        <w:t>: (Figure S2 B; superior sector)</w:t>
      </w:r>
      <w:r w:rsidR="00085AE8">
        <w:rPr>
          <w:kern w:val="24"/>
        </w:rPr>
        <w:t>, f</w:t>
      </w:r>
      <w:r w:rsidR="004904F8" w:rsidRPr="002368A8">
        <w:rPr>
          <w:kern w:val="24"/>
        </w:rPr>
        <w:t xml:space="preserve">urther progression of the disease leads to </w:t>
      </w:r>
      <w:r w:rsidR="00365C45">
        <w:rPr>
          <w:kern w:val="24"/>
        </w:rPr>
        <w:t xml:space="preserve">the </w:t>
      </w:r>
      <w:r w:rsidR="004904F8" w:rsidRPr="002368A8">
        <w:rPr>
          <w:kern w:val="24"/>
        </w:rPr>
        <w:t xml:space="preserve">spread of intra-retinal pigmentation into the macular area inside the </w:t>
      </w:r>
      <w:r w:rsidR="00365C45" w:rsidRPr="002368A8">
        <w:rPr>
          <w:kern w:val="24"/>
        </w:rPr>
        <w:t>arcade but</w:t>
      </w:r>
      <w:r w:rsidR="004904F8" w:rsidRPr="002368A8">
        <w:rPr>
          <w:kern w:val="24"/>
        </w:rPr>
        <w:t xml:space="preserve"> sparing the fovea.</w:t>
      </w:r>
      <w:r w:rsidR="00BD0D94">
        <w:rPr>
          <w:kern w:val="24"/>
        </w:rPr>
        <w:t xml:space="preserve"> </w:t>
      </w:r>
      <w:r w:rsidR="00BD0D94" w:rsidRPr="00BD0D94">
        <w:rPr>
          <w:b/>
          <w:bCs/>
          <w:kern w:val="24"/>
        </w:rPr>
        <w:t>Stage V:</w:t>
      </w:r>
      <w:r w:rsidR="00085AE8">
        <w:rPr>
          <w:kern w:val="24"/>
        </w:rPr>
        <w:t xml:space="preserve"> (Figure S2; inferior sector), the </w:t>
      </w:r>
      <w:r w:rsidR="004904F8" w:rsidRPr="002368A8">
        <w:rPr>
          <w:kern w:val="24"/>
        </w:rPr>
        <w:t xml:space="preserve">intra-retinal pigmentation involves the whole retina including the fovea. </w:t>
      </w:r>
    </w:p>
    <w:bookmarkEnd w:id="0"/>
    <w:p w14:paraId="2C3EEB22" w14:textId="77777777" w:rsidR="004904F8" w:rsidRPr="00263FB1" w:rsidRDefault="004904F8" w:rsidP="004904F8">
      <w:pPr>
        <w:pStyle w:val="NormalWeb"/>
        <w:spacing w:before="0" w:beforeAutospacing="0" w:after="200" w:afterAutospacing="0" w:line="256" w:lineRule="auto"/>
        <w:rPr>
          <w:rFonts w:asciiTheme="minorHAnsi" w:hAnsiTheme="minorHAnsi"/>
          <w:sz w:val="22"/>
          <w:szCs w:val="22"/>
        </w:rPr>
      </w:pPr>
    </w:p>
    <w:p w14:paraId="04CF4787" w14:textId="77777777" w:rsidR="004904F8" w:rsidRDefault="004904F8"/>
    <w:sectPr w:rsidR="004904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1F5"/>
    <w:rsid w:val="00085AE8"/>
    <w:rsid w:val="0009176C"/>
    <w:rsid w:val="000F3970"/>
    <w:rsid w:val="00161F29"/>
    <w:rsid w:val="001E0E05"/>
    <w:rsid w:val="002368A8"/>
    <w:rsid w:val="00365C45"/>
    <w:rsid w:val="00430440"/>
    <w:rsid w:val="004904F8"/>
    <w:rsid w:val="00671FD6"/>
    <w:rsid w:val="009C1B59"/>
    <w:rsid w:val="00BD0D94"/>
    <w:rsid w:val="00CC4297"/>
    <w:rsid w:val="00EA5A42"/>
    <w:rsid w:val="00F7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3C819"/>
  <w15:chartTrackingRefBased/>
  <w15:docId w15:val="{BA214C8A-F442-4BE6-B871-486CE30D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0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2024-04-14T17:08:00Z</dcterms:created>
  <dcterms:modified xsi:type="dcterms:W3CDTF">2024-04-14T17:08:00Z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4c927a7590edc53345f59016f204ebd46b3a1711f1547aa5ee39e23814797fad</vt:lpwstr>
  </property>
</Properties>
</file>